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山东济钢型材</w:t>
      </w:r>
      <w:r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公司剪刃采购项目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招标公告</w:t>
      </w:r>
    </w:p>
    <w:p>
      <w:pPr>
        <w:spacing w:line="400" w:lineRule="auto"/>
        <w:ind w:firstLine="643" w:firstLineChars="200"/>
        <w:jc w:val="left"/>
        <w:rPr>
          <w:rFonts w:hint="eastAsia" w:eastAsia="仿宋_GB2312"/>
          <w:color w:val="000000"/>
          <w:sz w:val="3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一、招标编号：</w:t>
      </w:r>
      <w:r>
        <w:rPr>
          <w:rFonts w:hint="eastAsia" w:eastAsia="仿宋_GB2312"/>
          <w:color w:val="000000"/>
          <w:sz w:val="30"/>
          <w:highlight w:val="none"/>
          <w:lang w:eastAsia="zh-CN"/>
        </w:rPr>
        <w:t xml:space="preserve"> </w:t>
      </w:r>
      <w:r>
        <w:rPr>
          <w:rFonts w:eastAsia="仿宋_GB2312"/>
          <w:color w:val="000000"/>
          <w:sz w:val="30"/>
        </w:rPr>
        <w:t>1201241021001</w:t>
      </w:r>
      <w:bookmarkStart w:id="0" w:name="_GoBack"/>
      <w:bookmarkEnd w:id="0"/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二、招标名称：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山东济钢型材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公司剪刃采购项目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三、招标内容：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剪刃采购明细，见表一</w:t>
      </w:r>
    </w:p>
    <w:tbl>
      <w:tblPr>
        <w:tblStyle w:val="6"/>
        <w:tblpPr w:leftFromText="180" w:rightFromText="180" w:vertAnchor="text" w:horzAnchor="page" w:tblpX="1500" w:tblpY="125"/>
        <w:tblOverlap w:val="never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608"/>
        <w:gridCol w:w="780"/>
        <w:gridCol w:w="780"/>
        <w:gridCol w:w="696"/>
        <w:gridCol w:w="864"/>
        <w:gridCol w:w="852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表一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图号/型号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单重（Kg）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总重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（Kg）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供货要求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圆盘剪剪刃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lwzj.dp.13.01/Φ630x50xΦ400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H13K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72.5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2465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合同签订后60日内供货</w:t>
            </w:r>
          </w:p>
        </w:tc>
      </w:tr>
    </w:tbl>
    <w:p>
      <w:pPr>
        <w:spacing w:line="540" w:lineRule="exact"/>
        <w:ind w:firstLine="643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以上物资按图纸要求提供。</w:t>
      </w:r>
    </w:p>
    <w:p>
      <w:pPr>
        <w:spacing w:line="540" w:lineRule="exact"/>
        <w:ind w:firstLine="643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技术要求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化学成分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材质：H13K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4Cr5MoSiV1+Ni+W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化学成分符合表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规定，其允许偏差应符合GB/T1299-20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标准要求。  </w:t>
      </w:r>
    </w:p>
    <w:p>
      <w:pPr>
        <w:spacing w:line="540" w:lineRule="exact"/>
        <w:ind w:firstLine="4200" w:firstLineChars="20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二</w:t>
      </w:r>
    </w:p>
    <w:tbl>
      <w:tblPr>
        <w:tblStyle w:val="6"/>
        <w:tblpPr w:leftFromText="180" w:rightFromText="180" w:vertAnchor="text" w:horzAnchor="page" w:tblpX="1334" w:tblpY="23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Si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Mn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P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0.38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0.43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0.80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0.30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0.50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≤0.015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≤0.015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Cr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Mo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V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Ni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5.50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1.60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2.20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2.60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1.70</w:t>
            </w:r>
          </w:p>
        </w:tc>
      </w:tr>
    </w:tbl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残留气体含量：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≤1.5PPM。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硬度：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 xml:space="preserve">硬度值HRC 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56-57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, 淬硬层深度≥35mm。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非金属夹杂物：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按GB/T10561-20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非金属夹杂物含量的测定标准评级图显微检验方法进行取样及检验，每个试样检验结果符合表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 xml:space="preserve">规定：                   </w:t>
      </w:r>
    </w:p>
    <w:p>
      <w:pPr>
        <w:spacing w:line="540" w:lineRule="exact"/>
        <w:ind w:firstLine="640" w:firstLineChars="200"/>
        <w:jc w:val="left"/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 xml:space="preserve"> 表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  <w:lang w:eastAsia="zh-CN"/>
        </w:rPr>
        <w:t>三</w:t>
      </w:r>
    </w:p>
    <w:tbl>
      <w:tblPr>
        <w:tblStyle w:val="6"/>
        <w:tblW w:w="0" w:type="auto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43"/>
        <w:gridCol w:w="962"/>
        <w:gridCol w:w="960"/>
        <w:gridCol w:w="990"/>
        <w:gridCol w:w="913"/>
        <w:gridCol w:w="1052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05" w:type="dxa"/>
            <w:vMerge w:val="restart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非金属夹杂物类型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A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粗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细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粗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细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粗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细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05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合格级别（不大于）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highlight w:val="none"/>
              </w:rPr>
              <w:t>1.5</w:t>
            </w:r>
          </w:p>
        </w:tc>
      </w:tr>
    </w:tbl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夹杂物级别累计之和小于等于4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超声波探伤：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按GB/T13314-2008锻钢冷轧工作锟超声波探伤方法A级执行。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承揽人保证第一次修磨前单面刀口剪切过钢量不低于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00吨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，双面过钢量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不低于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00吨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单片总过钢量不低于2.2万吨（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剪刃修磨次数不低于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4次，630直径的剪刃直径低于615mm后，剪刃报废）。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质保期：自承揽人交货完毕，定作方投入使用之日起12个月。质保期内不允许出现崩刀等严重缺陷。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承揽人保证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免费一次回厂修磨（包括恒温、去应力、退磁等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，运输、装卸、包装等产生的费用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承揽人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其他要求：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.1承揽人附产品检验记录及合格证明；（其中包括化学成分、硬度、热处理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升温曲线图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、探伤报告等）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.2所有剪刃打上编号与生产日期以及供应商名称。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.3剪刃切割键槽下来的键块做与剪刃相对应的编号，键块与剪刃装箱发货。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.4 承揽人定期到现场进行质量跟踪，做好售后服务工作。</w:t>
      </w:r>
    </w:p>
    <w:p>
      <w:pPr>
        <w:spacing w:line="54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未尽事宜：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符合GB/T1299-20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的有关规定。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 xml:space="preserve">    </w:t>
      </w:r>
      <w:r>
        <w:rPr>
          <w:rFonts w:hint="eastAsia"/>
          <w:b/>
          <w:sz w:val="24"/>
        </w:rPr>
        <w:t xml:space="preserve">   </w:t>
      </w:r>
    </w:p>
    <w:p>
      <w:pPr>
        <w:numPr>
          <w:ilvl w:val="0"/>
          <w:numId w:val="1"/>
        </w:num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资格要求: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1.依法成立，投标人在中华人民共和国境内注册；具备法人资格和一般纳税人资格，从事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经营范围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包括剪刃制作、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机械设备加工制造业务。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2.具有履行合同必需的专业技术、资质能力；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近2年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以来与本次采购相同或类似产品的相关业绩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2份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.有依法缴纳税收和社会保障金的良好纪录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或最新一期财务报表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.在经营活动中没有违法记录，需提供在“信用中国”网页查询的投标人企业是否有违法记录情况；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.不接受联合体投标；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.所有资质文件只接受在招投标系统中注册的电子文档，电子文档格式为JPG，不接受传真和邮寄的书面资料；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.如有单位资料造假，一经发现，立即在网上公示，并永久取消投标资格。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五、公告和报名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1.报名方式：登录www.jigang.com.cn—济钢集团有限公司阳光购销平台或 bidding.jigang.com.cn 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网上报名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使用指南可在网站首页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帮助中心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下载。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2.公告和报名时间：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3.投标文件名称注名：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《山东济钢型材有限公司剪刃采购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》。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六、招标文件获取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1.获取：报名成功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并缴纳标书费，经采购人确认后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可下载招标文件。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2.售价：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报名费300元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，售后不退。请报名单位将标书费缴至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第八条所述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账户，并在备注中注明《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山东济钢型材有限公司剪刃采购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标书费》，并将缴款凭证发至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wnzh7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126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七、投标保证金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1.本次投标保证金为：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3000.00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instrText xml:space="preserve"> = 40000 \* CHINESENUM4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叁仟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元整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报名单位在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前未交纳投标保证金的，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投标将被拒绝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2.请报名单位将投标保证金缴至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第八条所述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账户，备注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注明《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山东济钢型材有限公司剪刃采购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投标保证金》，并将缴款凭证发至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wnzh7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126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邮箱，投标保证金在具备退还条件后原帐户退还。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注意投标保证金与标书费分2笔转入。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八、招标人账户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账户：山东济钢型材有限公司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开户行：中国工商银行股份有限公司济南东郊支行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账号：1602 0034 1920 0110 297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行号：102451000344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九、投标文件提交</w:t>
      </w:r>
    </w:p>
    <w:p>
      <w:pPr>
        <w:snapToGrid w:val="0"/>
        <w:spacing w:line="500" w:lineRule="exact"/>
        <w:ind w:left="298" w:leftChars="14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1.投标文件提交的截止时间（投标截止时间，下同）为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15时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2.开标时间：同投标截止时间。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3.投标方式：网上投标，谢绝现场投标。</w:t>
      </w:r>
    </w:p>
    <w:p>
      <w:pPr>
        <w:snapToGri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4.按投标文件第六章、第七章格式制作投标文件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十、联系方式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1.招标联系人：王先生，联系电话：0531-88842121。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2.技术咨询人：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先生，联系电话：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13345138968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公告中的招标内容和招标其他要求以最终的招标文件为准。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C03D9"/>
    <w:multiLevelType w:val="singleLevel"/>
    <w:tmpl w:val="BBFC0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5B81"/>
    <w:rsid w:val="486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2024-10-21T00:39:00Z</dcterms:created>
  <dc:creator>王乃征</dc:creator>
  <cp:lastModifiedBy>王乃征</cp:lastModifiedBy>
  <dcterms:modified xsi:type="dcterms:W3CDTF">2024-10-21T00:42:12Z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5EE19475A1524E96A4FF6D7E6841EB72</vt:lpwstr>
  </property>
</Properties>
</file>